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2A" w:rsidRPr="00D52972" w:rsidRDefault="00D52972" w:rsidP="00134A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Prevalência e Susceptibilidade Antimicrobiana de Microrganismos Isolados em Infecções do Sítio Cirúrgico</w:t>
      </w:r>
    </w:p>
    <w:p w:rsidR="005A3C2A" w:rsidRPr="00D52972" w:rsidRDefault="005A3C2A" w:rsidP="00134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E2D" w:rsidRPr="00D52972" w:rsidRDefault="000F3E2D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Lorraine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Herdy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Heggendornn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0F3E2D" w:rsidRPr="00D52972" w:rsidRDefault="000F3E2D" w:rsidP="00134A34">
      <w:pPr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D52972">
        <w:rPr>
          <w:rFonts w:ascii="Times New Roman" w:hAnsi="Times New Roman" w:cs="Times New Roman"/>
          <w:sz w:val="20"/>
          <w:szCs w:val="24"/>
        </w:rPr>
        <w:t>E-mail: lorrainehh@id.uff.br</w:t>
      </w:r>
    </w:p>
    <w:p w:rsidR="000F3E2D" w:rsidRPr="00D52972" w:rsidRDefault="000F3E2D" w:rsidP="00134A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D52972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Laboratório de Microbiologia Experimental, Instituto de Saúde de Nova Friburgo, Universidade Federal Fluminense, Rio de Janeiro, Bra</w:t>
      </w:r>
      <w:r w:rsidR="004F2763">
        <w:rPr>
          <w:rFonts w:ascii="Times New Roman" w:hAnsi="Times New Roman" w:cs="Times New Roman"/>
          <w:sz w:val="20"/>
          <w:szCs w:val="24"/>
        </w:rPr>
        <w:t>s</w:t>
      </w:r>
      <w:r w:rsidRPr="00D52972">
        <w:rPr>
          <w:rFonts w:ascii="Times New Roman" w:hAnsi="Times New Roman" w:cs="Times New Roman"/>
          <w:sz w:val="20"/>
          <w:szCs w:val="24"/>
        </w:rPr>
        <w:t>il.</w:t>
      </w:r>
    </w:p>
    <w:p w:rsidR="000F3E2D" w:rsidRPr="00D52972" w:rsidRDefault="000F3E2D" w:rsidP="00134A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D52972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Programa de Pós-Graduação em Microbiologia, Universidade do Estado do Rio de Janeiro, Rio de Janeiro, Bra</w:t>
      </w:r>
      <w:r w:rsidR="004F2763">
        <w:rPr>
          <w:rFonts w:ascii="Times New Roman" w:hAnsi="Times New Roman" w:cs="Times New Roman"/>
          <w:sz w:val="20"/>
          <w:szCs w:val="24"/>
        </w:rPr>
        <w:t>s</w:t>
      </w:r>
      <w:r w:rsidRPr="00D52972">
        <w:rPr>
          <w:rFonts w:ascii="Times New Roman" w:hAnsi="Times New Roman" w:cs="Times New Roman"/>
          <w:sz w:val="20"/>
          <w:szCs w:val="24"/>
        </w:rPr>
        <w:t>il.</w:t>
      </w:r>
    </w:p>
    <w:p w:rsidR="000F3E2D" w:rsidRPr="00D52972" w:rsidRDefault="000F3E2D" w:rsidP="00134A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D52972" w:rsidP="00134A3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52972">
        <w:rPr>
          <w:rFonts w:ascii="Times New Roman" w:hAnsi="Times New Roman" w:cs="Times New Roman"/>
          <w:b/>
          <w:sz w:val="20"/>
          <w:szCs w:val="24"/>
        </w:rPr>
        <w:t>Resumo</w:t>
      </w: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52972">
        <w:rPr>
          <w:rFonts w:ascii="Times New Roman" w:hAnsi="Times New Roman" w:cs="Times New Roman"/>
          <w:sz w:val="20"/>
          <w:szCs w:val="24"/>
        </w:rPr>
        <w:t xml:space="preserve">A Infecção do Sítio Cirúrgico (ISC) é uma importante causa de complicação pós-operatória, e ocupa a terceira posição, entre as mais comuns infecções em serviços de saúde no Brasil. </w:t>
      </w:r>
      <w:r w:rsidR="004F2763">
        <w:rPr>
          <w:rFonts w:ascii="Times New Roman" w:hAnsi="Times New Roman" w:cs="Times New Roman"/>
          <w:sz w:val="20"/>
          <w:szCs w:val="24"/>
        </w:rPr>
        <w:t xml:space="preserve">O objetivo deste </w:t>
      </w:r>
      <w:r w:rsidRPr="00D52972">
        <w:rPr>
          <w:rFonts w:ascii="Times New Roman" w:hAnsi="Times New Roman" w:cs="Times New Roman"/>
          <w:sz w:val="20"/>
          <w:szCs w:val="24"/>
        </w:rPr>
        <w:t xml:space="preserve">trabalho </w:t>
      </w:r>
      <w:r w:rsidR="004F2763">
        <w:rPr>
          <w:rFonts w:ascii="Times New Roman" w:hAnsi="Times New Roman" w:cs="Times New Roman"/>
          <w:sz w:val="20"/>
          <w:szCs w:val="24"/>
        </w:rPr>
        <w:t xml:space="preserve">foi </w:t>
      </w:r>
      <w:r w:rsidRPr="00D52972">
        <w:rPr>
          <w:rFonts w:ascii="Times New Roman" w:hAnsi="Times New Roman" w:cs="Times New Roman"/>
          <w:sz w:val="20"/>
          <w:szCs w:val="24"/>
        </w:rPr>
        <w:t>investigar a prevalência, e a susceptibilidade aos agentes antimicrobianos, apresentada por bactérias associadas à ISC, em um hospital em Nova Friburgo, Rio de Janeiro, Brasil</w:t>
      </w:r>
      <w:r w:rsidR="004F2763">
        <w:rPr>
          <w:rFonts w:ascii="Times New Roman" w:hAnsi="Times New Roman" w:cs="Times New Roman"/>
          <w:sz w:val="20"/>
          <w:szCs w:val="24"/>
        </w:rPr>
        <w:t xml:space="preserve">. </w:t>
      </w:r>
      <w:r w:rsidRPr="00D52972">
        <w:rPr>
          <w:rFonts w:ascii="Times New Roman" w:hAnsi="Times New Roman" w:cs="Times New Roman"/>
          <w:sz w:val="20"/>
          <w:szCs w:val="24"/>
        </w:rPr>
        <w:t xml:space="preserve">O estudo foi desenvolvido a partir do banco de dados do laboratório de microbiologia do hospital. Foram analisados registros, de culturas de secreções de feridas cirúrgicas, e testes de sensibilidade, entre </w:t>
      </w:r>
      <w:r w:rsidR="00134A34">
        <w:rPr>
          <w:rFonts w:ascii="Times New Roman" w:hAnsi="Times New Roman" w:cs="Times New Roman"/>
          <w:sz w:val="20"/>
          <w:szCs w:val="24"/>
        </w:rPr>
        <w:t>J</w:t>
      </w:r>
      <w:r w:rsidRPr="00D52972">
        <w:rPr>
          <w:rFonts w:ascii="Times New Roman" w:hAnsi="Times New Roman" w:cs="Times New Roman"/>
          <w:sz w:val="20"/>
          <w:szCs w:val="24"/>
        </w:rPr>
        <w:t>unho</w:t>
      </w:r>
      <w:r w:rsidR="00134A34">
        <w:rPr>
          <w:rFonts w:ascii="Times New Roman" w:hAnsi="Times New Roman" w:cs="Times New Roman"/>
          <w:sz w:val="20"/>
          <w:szCs w:val="24"/>
        </w:rPr>
        <w:t>/</w:t>
      </w:r>
      <w:r w:rsidRPr="00D52972">
        <w:rPr>
          <w:rFonts w:ascii="Times New Roman" w:hAnsi="Times New Roman" w:cs="Times New Roman"/>
          <w:sz w:val="20"/>
          <w:szCs w:val="24"/>
        </w:rPr>
        <w:t xml:space="preserve">2012 a </w:t>
      </w:r>
      <w:r w:rsidR="00134A34">
        <w:rPr>
          <w:rFonts w:ascii="Times New Roman" w:hAnsi="Times New Roman" w:cs="Times New Roman"/>
          <w:sz w:val="20"/>
          <w:szCs w:val="24"/>
        </w:rPr>
        <w:t>A</w:t>
      </w:r>
      <w:r w:rsidRPr="00D52972">
        <w:rPr>
          <w:rFonts w:ascii="Times New Roman" w:hAnsi="Times New Roman" w:cs="Times New Roman"/>
          <w:sz w:val="20"/>
          <w:szCs w:val="24"/>
        </w:rPr>
        <w:t>gosto</w:t>
      </w:r>
      <w:r w:rsidR="00134A34">
        <w:rPr>
          <w:rFonts w:ascii="Times New Roman" w:hAnsi="Times New Roman" w:cs="Times New Roman"/>
          <w:sz w:val="20"/>
          <w:szCs w:val="24"/>
        </w:rPr>
        <w:t>/</w:t>
      </w:r>
      <w:r w:rsidRPr="00D52972">
        <w:rPr>
          <w:rFonts w:ascii="Times New Roman" w:hAnsi="Times New Roman" w:cs="Times New Roman"/>
          <w:sz w:val="20"/>
          <w:szCs w:val="24"/>
        </w:rPr>
        <w:t xml:space="preserve">2016. Oitenta e três microrganismos foram isolados. Os microrganismos mais prevalentes foram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negativa (26 amostras),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0"/>
          <w:szCs w:val="24"/>
        </w:rPr>
        <w:t>aureus</w:t>
      </w:r>
      <w:r w:rsidRPr="00D52972">
        <w:rPr>
          <w:rFonts w:ascii="Times New Roman" w:hAnsi="Times New Roman" w:cs="Times New Roman"/>
          <w:sz w:val="20"/>
          <w:szCs w:val="24"/>
        </w:rPr>
        <w:t xml:space="preserve"> (20 amostras),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spp. (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8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amostras) e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Candida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albicans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(8 amostras). A susceptibilidade antimicrobiana revelou que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-negativa apresentou uma taxa de resistência de 57,69% frente aos antibióticos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0"/>
          <w:szCs w:val="24"/>
        </w:rPr>
        <w:t xml:space="preserve">aureus </w:t>
      </w:r>
      <w:r w:rsidRPr="00D52972">
        <w:rPr>
          <w:rFonts w:ascii="Times New Roman" w:hAnsi="Times New Roman" w:cs="Times New Roman"/>
          <w:sz w:val="20"/>
          <w:szCs w:val="24"/>
        </w:rPr>
        <w:t xml:space="preserve">foi mais resistente à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amoxilina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/ácido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clavulânico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(50,00%).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apresentou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resistência à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amicacina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(50,00%), seguida por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ceftriaxona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(37,50%). Este estudo reafirma a necessidade do uso racional dos agentes antimicrobianos, e a implantação de estratégias de vigilância epidemiológica no tratamento de infecções de feridas operatórias.</w:t>
      </w: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52972">
        <w:rPr>
          <w:rFonts w:ascii="Times New Roman" w:hAnsi="Times New Roman" w:cs="Times New Roman"/>
          <w:b/>
          <w:sz w:val="20"/>
          <w:szCs w:val="24"/>
        </w:rPr>
        <w:t>Palavras-chave</w:t>
      </w:r>
      <w:r w:rsidRPr="00D52972">
        <w:rPr>
          <w:rFonts w:ascii="Times New Roman" w:hAnsi="Times New Roman" w:cs="Times New Roman"/>
          <w:sz w:val="20"/>
          <w:szCs w:val="24"/>
        </w:rPr>
        <w:t xml:space="preserve">: Infecção da Ferida Operatória. Resistência a Medicamentos. Infecções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Estafilocócicas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. Vigilância Epidemiológica. Microbiologia.</w:t>
      </w:r>
      <w:r w:rsidR="00D52972" w:rsidRPr="00D52972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2104" w:rsidRDefault="001E2104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33275" w:rsidRPr="00D52972" w:rsidRDefault="00B33275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A3C2A" w:rsidRPr="00D52972" w:rsidRDefault="00D52972" w:rsidP="00134A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Prevalence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Microorganisms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Isolated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from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Wound</w:t>
      </w:r>
      <w:proofErr w:type="spellEnd"/>
      <w:r w:rsidRPr="00D52972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Infections</w:t>
      </w:r>
      <w:proofErr w:type="spellEnd"/>
    </w:p>
    <w:p w:rsidR="004F2763" w:rsidRPr="004F2763" w:rsidRDefault="004F2763" w:rsidP="00134A3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4F2763">
        <w:rPr>
          <w:rFonts w:ascii="Times New Roman" w:hAnsi="Times New Roman" w:cs="Times New Roman"/>
          <w:b/>
          <w:sz w:val="20"/>
          <w:szCs w:val="24"/>
        </w:rPr>
        <w:t xml:space="preserve">Abstract </w:t>
      </w: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Site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Infection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(SSI)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important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cause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postoperative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complication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ranks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third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most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common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infections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in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Brazilian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health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services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r w:rsidR="004F2763" w:rsidRPr="004F2763">
        <w:rPr>
          <w:rFonts w:ascii="Times New Roman" w:hAnsi="Times New Roman" w:cs="Times New Roman"/>
          <w:sz w:val="20"/>
          <w:szCs w:val="24"/>
        </w:rPr>
        <w:t xml:space="preserve">The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aim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this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study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was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="004F2763" w:rsidRP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4F2763" w:rsidRPr="004F2763">
        <w:rPr>
          <w:rFonts w:ascii="Times New Roman" w:hAnsi="Times New Roman" w:cs="Times New Roman"/>
          <w:sz w:val="20"/>
          <w:szCs w:val="24"/>
        </w:rPr>
        <w:t>investigate</w:t>
      </w:r>
      <w:proofErr w:type="spellEnd"/>
      <w:r w:rsidR="004F27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prevalence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bacteria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associated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SSI in a hospital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Nova Friburgo, Rio de Janeiro,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Brazil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This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study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developed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from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hospital’s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microbiology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lab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database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Records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cultures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wound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secretions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sensitivity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tests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were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analyzed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from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34A34">
        <w:rPr>
          <w:rFonts w:ascii="Times New Roman" w:hAnsi="Times New Roman" w:cs="Times New Roman"/>
          <w:sz w:val="20"/>
          <w:szCs w:val="24"/>
        </w:rPr>
        <w:t>J</w:t>
      </w:r>
      <w:r w:rsidRPr="00D52972">
        <w:rPr>
          <w:rFonts w:ascii="Times New Roman" w:hAnsi="Times New Roman" w:cs="Times New Roman"/>
          <w:sz w:val="20"/>
          <w:szCs w:val="24"/>
        </w:rPr>
        <w:t>une</w:t>
      </w:r>
      <w:proofErr w:type="spellEnd"/>
      <w:r w:rsidR="00134A34">
        <w:rPr>
          <w:rFonts w:ascii="Times New Roman" w:hAnsi="Times New Roman" w:cs="Times New Roman"/>
          <w:sz w:val="20"/>
          <w:szCs w:val="24"/>
        </w:rPr>
        <w:t>/</w:t>
      </w:r>
      <w:r w:rsidRPr="00D52972">
        <w:rPr>
          <w:rFonts w:ascii="Times New Roman" w:hAnsi="Times New Roman" w:cs="Times New Roman"/>
          <w:sz w:val="20"/>
          <w:szCs w:val="24"/>
        </w:rPr>
        <w:t xml:space="preserve">2012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="00134A34">
        <w:rPr>
          <w:rFonts w:ascii="Times New Roman" w:hAnsi="Times New Roman" w:cs="Times New Roman"/>
          <w:sz w:val="20"/>
          <w:szCs w:val="24"/>
        </w:rPr>
        <w:t>A</w:t>
      </w:r>
      <w:r w:rsidRPr="00D52972">
        <w:rPr>
          <w:rFonts w:ascii="Times New Roman" w:hAnsi="Times New Roman" w:cs="Times New Roman"/>
          <w:sz w:val="20"/>
          <w:szCs w:val="24"/>
        </w:rPr>
        <w:t>ugust</w:t>
      </w:r>
      <w:r w:rsidR="00134A34">
        <w:rPr>
          <w:rFonts w:ascii="Times New Roman" w:hAnsi="Times New Roman" w:cs="Times New Roman"/>
          <w:sz w:val="20"/>
          <w:szCs w:val="24"/>
        </w:rPr>
        <w:t>/</w:t>
      </w:r>
      <w:r w:rsidRPr="00D52972">
        <w:rPr>
          <w:rFonts w:ascii="Times New Roman" w:hAnsi="Times New Roman" w:cs="Times New Roman"/>
          <w:sz w:val="20"/>
          <w:szCs w:val="24"/>
        </w:rPr>
        <w:t xml:space="preserve">2016.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Eighty-three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microorganisms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were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isolated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The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most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prevalent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microorganisms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were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-negative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staphylococci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(26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samples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),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0"/>
          <w:szCs w:val="24"/>
        </w:rPr>
        <w:t>aureus</w:t>
      </w:r>
      <w:r w:rsidRPr="00D52972">
        <w:rPr>
          <w:rFonts w:ascii="Times New Roman" w:hAnsi="Times New Roman" w:cs="Times New Roman"/>
          <w:sz w:val="20"/>
          <w:szCs w:val="24"/>
        </w:rPr>
        <w:t xml:space="preserve"> (20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samples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),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>. (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8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samples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Candida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albicans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(8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samples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). The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revealed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that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-negative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staphylococci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were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had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rate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57.69%.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0"/>
          <w:szCs w:val="24"/>
        </w:rPr>
        <w:t>aureus</w:t>
      </w:r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more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resistant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oxacillin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amoxilin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clavulanic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acid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(50.00%). </w:t>
      </w:r>
      <w:proofErr w:type="spellStart"/>
      <w:r w:rsidRPr="00D52972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Pr="00D52972">
        <w:rPr>
          <w:rFonts w:ascii="Times New Roman" w:hAnsi="Times New Roman" w:cs="Times New Roman"/>
          <w:sz w:val="20"/>
          <w:szCs w:val="24"/>
        </w:rPr>
        <w:t>showed</w:t>
      </w:r>
      <w:proofErr w:type="spellEnd"/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amikacin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(50.00%),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followed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ceftriaxone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(37.50%).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This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study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reaffirms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need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for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rational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use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agents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implementation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epidemiological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surveillance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strategies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for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treatment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wound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infections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.</w:t>
      </w: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D52972">
        <w:rPr>
          <w:rFonts w:ascii="Times New Roman" w:hAnsi="Times New Roman" w:cs="Times New Roman"/>
          <w:b/>
          <w:sz w:val="20"/>
          <w:szCs w:val="24"/>
        </w:rPr>
        <w:t>Keywords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: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Wound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Infection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Drug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Staphylococcal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Infections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Epidemiological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F00F24">
        <w:rPr>
          <w:rFonts w:ascii="Times New Roman" w:hAnsi="Times New Roman" w:cs="Times New Roman"/>
          <w:sz w:val="20"/>
          <w:szCs w:val="24"/>
        </w:rPr>
        <w:t>S</w:t>
      </w:r>
      <w:r w:rsidRPr="00D52972">
        <w:rPr>
          <w:rFonts w:ascii="Times New Roman" w:hAnsi="Times New Roman" w:cs="Times New Roman"/>
          <w:sz w:val="20"/>
          <w:szCs w:val="24"/>
        </w:rPr>
        <w:t>urveillance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Microbiology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.</w:t>
      </w:r>
    </w:p>
    <w:p w:rsidR="005A3C2A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33275" w:rsidRDefault="00B33275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E2104" w:rsidRPr="00D52972" w:rsidRDefault="001E2104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A3C2A" w:rsidRPr="001E2104" w:rsidRDefault="001E2104" w:rsidP="00134A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1E2104">
        <w:rPr>
          <w:rFonts w:ascii="Times New Roman" w:hAnsi="Times New Roman" w:cs="Times New Roman"/>
          <w:b/>
          <w:sz w:val="20"/>
          <w:szCs w:val="24"/>
        </w:rPr>
        <w:lastRenderedPageBreak/>
        <w:t>Prevalencia</w:t>
      </w:r>
      <w:proofErr w:type="spellEnd"/>
      <w:r w:rsidRPr="001E2104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y</w:t>
      </w:r>
      <w:r w:rsidRPr="001E2104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Susceptibilidad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Antimicrobiana d</w:t>
      </w:r>
      <w:r w:rsidRPr="001E2104">
        <w:rPr>
          <w:rFonts w:ascii="Times New Roman" w:hAnsi="Times New Roman" w:cs="Times New Roman"/>
          <w:b/>
          <w:sz w:val="20"/>
          <w:szCs w:val="24"/>
        </w:rPr>
        <w:t xml:space="preserve">e </w:t>
      </w:r>
      <w:proofErr w:type="spellStart"/>
      <w:r w:rsidRPr="001E2104">
        <w:rPr>
          <w:rFonts w:ascii="Times New Roman" w:hAnsi="Times New Roman" w:cs="Times New Roman"/>
          <w:b/>
          <w:sz w:val="20"/>
          <w:szCs w:val="24"/>
        </w:rPr>
        <w:t>Microorganismos</w:t>
      </w:r>
      <w:proofErr w:type="spellEnd"/>
      <w:r w:rsidRPr="001E2104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E2104">
        <w:rPr>
          <w:rFonts w:ascii="Times New Roman" w:hAnsi="Times New Roman" w:cs="Times New Roman"/>
          <w:b/>
          <w:sz w:val="20"/>
          <w:szCs w:val="24"/>
        </w:rPr>
        <w:t>Aislados</w:t>
      </w:r>
      <w:proofErr w:type="spellEnd"/>
      <w:r w:rsidRPr="001E2104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d</w:t>
      </w:r>
      <w:r w:rsidRPr="001E2104">
        <w:rPr>
          <w:rFonts w:ascii="Times New Roman" w:hAnsi="Times New Roman" w:cs="Times New Roman"/>
          <w:b/>
          <w:sz w:val="20"/>
          <w:szCs w:val="24"/>
        </w:rPr>
        <w:t xml:space="preserve">e Infecciones </w:t>
      </w:r>
      <w:r>
        <w:rPr>
          <w:rFonts w:ascii="Times New Roman" w:hAnsi="Times New Roman" w:cs="Times New Roman"/>
          <w:b/>
          <w:sz w:val="20"/>
          <w:szCs w:val="24"/>
        </w:rPr>
        <w:t>d</w:t>
      </w:r>
      <w:r w:rsidRPr="001E2104">
        <w:rPr>
          <w:rFonts w:ascii="Times New Roman" w:hAnsi="Times New Roman" w:cs="Times New Roman"/>
          <w:b/>
          <w:sz w:val="20"/>
          <w:szCs w:val="24"/>
        </w:rPr>
        <w:t xml:space="preserve">e </w:t>
      </w:r>
      <w:proofErr w:type="spellStart"/>
      <w:r w:rsidRPr="001E2104">
        <w:rPr>
          <w:rFonts w:ascii="Times New Roman" w:hAnsi="Times New Roman" w:cs="Times New Roman"/>
          <w:b/>
          <w:sz w:val="20"/>
          <w:szCs w:val="24"/>
        </w:rPr>
        <w:t>Heridas</w:t>
      </w:r>
      <w:proofErr w:type="spellEnd"/>
      <w:r w:rsidRPr="001E2104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33275">
        <w:rPr>
          <w:rFonts w:ascii="Times New Roman" w:hAnsi="Times New Roman" w:cs="Times New Roman"/>
          <w:b/>
          <w:sz w:val="20"/>
          <w:szCs w:val="24"/>
        </w:rPr>
        <w:t>Q</w:t>
      </w:r>
      <w:r w:rsidR="00B33275" w:rsidRPr="00B33275">
        <w:rPr>
          <w:rFonts w:ascii="Times New Roman" w:hAnsi="Times New Roman" w:cs="Times New Roman"/>
          <w:b/>
          <w:sz w:val="20"/>
          <w:szCs w:val="24"/>
        </w:rPr>
        <w:t>uirúrgica</w:t>
      </w:r>
      <w:r w:rsidRPr="001E2104">
        <w:rPr>
          <w:rFonts w:ascii="Times New Roman" w:hAnsi="Times New Roman" w:cs="Times New Roman"/>
          <w:b/>
          <w:sz w:val="20"/>
          <w:szCs w:val="24"/>
        </w:rPr>
        <w:t>s</w:t>
      </w:r>
      <w:proofErr w:type="spellEnd"/>
    </w:p>
    <w:p w:rsidR="005A3C2A" w:rsidRPr="001E2104" w:rsidRDefault="001E2104" w:rsidP="00134A3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1E2104">
        <w:rPr>
          <w:rFonts w:ascii="Times New Roman" w:hAnsi="Times New Roman" w:cs="Times New Roman"/>
          <w:b/>
          <w:sz w:val="20"/>
          <w:szCs w:val="24"/>
        </w:rPr>
        <w:t>Resumen</w:t>
      </w:r>
      <w:proofErr w:type="spellEnd"/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52972">
        <w:rPr>
          <w:rFonts w:ascii="Times New Roman" w:hAnsi="Times New Roman" w:cs="Times New Roman"/>
          <w:sz w:val="20"/>
          <w:szCs w:val="24"/>
        </w:rPr>
        <w:t xml:space="preserve">La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infección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="00B33275" w:rsidRPr="00B33275">
        <w:rPr>
          <w:rFonts w:ascii="Times New Roman" w:hAnsi="Times New Roman" w:cs="Times New Roman"/>
          <w:sz w:val="20"/>
          <w:szCs w:val="24"/>
        </w:rPr>
        <w:t xml:space="preserve">de </w:t>
      </w:r>
      <w:proofErr w:type="spellStart"/>
      <w:proofErr w:type="gramStart"/>
      <w:r w:rsidR="00B33275" w:rsidRPr="00B33275">
        <w:rPr>
          <w:rFonts w:ascii="Times New Roman" w:hAnsi="Times New Roman" w:cs="Times New Roman"/>
          <w:sz w:val="20"/>
          <w:szCs w:val="24"/>
        </w:rPr>
        <w:t>la</w:t>
      </w:r>
      <w:proofErr w:type="spellEnd"/>
      <w:proofErr w:type="gramEnd"/>
      <w:r w:rsidR="00B33275" w:rsidRPr="00B3327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B33275" w:rsidRPr="00B33275">
        <w:rPr>
          <w:rFonts w:ascii="Times New Roman" w:hAnsi="Times New Roman" w:cs="Times New Roman"/>
          <w:sz w:val="20"/>
          <w:szCs w:val="24"/>
        </w:rPr>
        <w:t>herida</w:t>
      </w:r>
      <w:proofErr w:type="spellEnd"/>
      <w:r w:rsidR="00B33275" w:rsidRPr="00B33275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B33275" w:rsidRPr="00B33275">
        <w:rPr>
          <w:rFonts w:ascii="Times New Roman" w:hAnsi="Times New Roman" w:cs="Times New Roman"/>
          <w:sz w:val="20"/>
          <w:szCs w:val="24"/>
        </w:rPr>
        <w:t>quirúrgica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</w:t>
      </w:r>
      <w:r w:rsidR="001E2104">
        <w:rPr>
          <w:rFonts w:ascii="Times New Roman" w:hAnsi="Times New Roman" w:cs="Times New Roman"/>
          <w:sz w:val="20"/>
          <w:szCs w:val="24"/>
        </w:rPr>
        <w:t>I</w:t>
      </w:r>
      <w:r w:rsidR="00F00F24">
        <w:rPr>
          <w:rFonts w:ascii="Times New Roman" w:hAnsi="Times New Roman" w:cs="Times New Roman"/>
          <w:sz w:val="20"/>
          <w:szCs w:val="24"/>
        </w:rPr>
        <w:t>H</w:t>
      </w:r>
      <w:r w:rsidR="001E2104">
        <w:rPr>
          <w:rFonts w:ascii="Times New Roman" w:hAnsi="Times New Roman" w:cs="Times New Roman"/>
          <w:sz w:val="20"/>
          <w:szCs w:val="24"/>
        </w:rPr>
        <w:t>Q</w:t>
      </w:r>
      <w:r w:rsidRPr="00D52972">
        <w:rPr>
          <w:rFonts w:ascii="Times New Roman" w:hAnsi="Times New Roman" w:cs="Times New Roman"/>
          <w:sz w:val="20"/>
          <w:szCs w:val="24"/>
        </w:rPr>
        <w:t xml:space="preserve">) es una causa importante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complicaciones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postoperatorias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ubica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como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tercera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infección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más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común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servicios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salud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brasileños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El objetivo de este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trabajo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fue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investigar </w:t>
      </w:r>
      <w:proofErr w:type="spellStart"/>
      <w:proofErr w:type="gram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prevalencia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susceptibilidad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antimicrobiana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bacterias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asociadas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 </w:t>
      </w:r>
      <w:r w:rsidR="00B33275">
        <w:rPr>
          <w:rFonts w:ascii="Times New Roman" w:hAnsi="Times New Roman" w:cs="Times New Roman"/>
          <w:sz w:val="20"/>
          <w:szCs w:val="24"/>
        </w:rPr>
        <w:t>IHQ</w:t>
      </w:r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un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hospital de Nova Friburgo,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Río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Janeiro, Brasil. Este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estudio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desarrolló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 partir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base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datos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del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laboratorio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microbiología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del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hospital. 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analizaron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registros de cultivos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secreciones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heridas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quirúrgicas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pruebas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sensibilidad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desde </w:t>
      </w:r>
      <w:proofErr w:type="spellStart"/>
      <w:r w:rsidR="00134A34">
        <w:rPr>
          <w:rFonts w:ascii="Times New Roman" w:hAnsi="Times New Roman" w:cs="Times New Roman"/>
          <w:sz w:val="20"/>
          <w:szCs w:val="24"/>
        </w:rPr>
        <w:t>J</w:t>
      </w:r>
      <w:r w:rsidRPr="00D52972">
        <w:rPr>
          <w:rFonts w:ascii="Times New Roman" w:hAnsi="Times New Roman" w:cs="Times New Roman"/>
          <w:sz w:val="20"/>
          <w:szCs w:val="24"/>
        </w:rPr>
        <w:t>unio</w:t>
      </w:r>
      <w:proofErr w:type="spellEnd"/>
      <w:r w:rsidR="00852184">
        <w:rPr>
          <w:rFonts w:ascii="Times New Roman" w:hAnsi="Times New Roman" w:cs="Times New Roman"/>
          <w:sz w:val="20"/>
          <w:szCs w:val="24"/>
        </w:rPr>
        <w:t>/</w:t>
      </w:r>
      <w:r w:rsidR="00134A34">
        <w:rPr>
          <w:rFonts w:ascii="Times New Roman" w:hAnsi="Times New Roman" w:cs="Times New Roman"/>
          <w:sz w:val="20"/>
          <w:szCs w:val="24"/>
        </w:rPr>
        <w:t>2012 hasta A</w:t>
      </w:r>
      <w:r w:rsidRPr="00D52972">
        <w:rPr>
          <w:rFonts w:ascii="Times New Roman" w:hAnsi="Times New Roman" w:cs="Times New Roman"/>
          <w:sz w:val="20"/>
          <w:szCs w:val="24"/>
        </w:rPr>
        <w:t>gosto</w:t>
      </w:r>
      <w:r w:rsidR="00852184">
        <w:rPr>
          <w:rFonts w:ascii="Times New Roman" w:hAnsi="Times New Roman" w:cs="Times New Roman"/>
          <w:sz w:val="20"/>
          <w:szCs w:val="24"/>
        </w:rPr>
        <w:t>/</w:t>
      </w:r>
      <w:r w:rsidRPr="00D52972">
        <w:rPr>
          <w:rFonts w:ascii="Times New Roman" w:hAnsi="Times New Roman" w:cs="Times New Roman"/>
          <w:sz w:val="20"/>
          <w:szCs w:val="24"/>
        </w:rPr>
        <w:t xml:space="preserve">2016. Se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aislaron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ochenta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tres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microorganismos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Los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microorganismos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más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frecuentes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fueron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="001E2104" w:rsidRPr="001E2104">
        <w:rPr>
          <w:rFonts w:ascii="Times New Roman" w:hAnsi="Times New Roman" w:cs="Times New Roman"/>
          <w:sz w:val="20"/>
          <w:szCs w:val="24"/>
        </w:rPr>
        <w:t xml:space="preserve">Estafilococos </w:t>
      </w:r>
      <w:proofErr w:type="spellStart"/>
      <w:r w:rsidR="001E2104" w:rsidRPr="001E2104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="001E2104" w:rsidRPr="001E2104">
        <w:rPr>
          <w:rFonts w:ascii="Times New Roman" w:hAnsi="Times New Roman" w:cs="Times New Roman"/>
          <w:sz w:val="20"/>
          <w:szCs w:val="24"/>
        </w:rPr>
        <w:t xml:space="preserve"> negativa </w:t>
      </w:r>
      <w:r w:rsidRPr="00D52972">
        <w:rPr>
          <w:rFonts w:ascii="Times New Roman" w:hAnsi="Times New Roman" w:cs="Times New Roman"/>
          <w:sz w:val="20"/>
          <w:szCs w:val="24"/>
        </w:rPr>
        <w:t xml:space="preserve">(26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muestras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), </w:t>
      </w:r>
      <w:proofErr w:type="spellStart"/>
      <w:r w:rsidRPr="001E2104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1E2104">
        <w:rPr>
          <w:rFonts w:ascii="Times New Roman" w:hAnsi="Times New Roman" w:cs="Times New Roman"/>
          <w:i/>
          <w:sz w:val="20"/>
          <w:szCs w:val="24"/>
        </w:rPr>
        <w:t xml:space="preserve"> aureus</w:t>
      </w:r>
      <w:r w:rsidRPr="00D52972">
        <w:rPr>
          <w:rFonts w:ascii="Times New Roman" w:hAnsi="Times New Roman" w:cs="Times New Roman"/>
          <w:sz w:val="20"/>
          <w:szCs w:val="24"/>
        </w:rPr>
        <w:t xml:space="preserve"> (20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muestras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), </w:t>
      </w:r>
      <w:proofErr w:type="spellStart"/>
      <w:r w:rsidRPr="001E2104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>. (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8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muestras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 y </w:t>
      </w:r>
      <w:proofErr w:type="spellStart"/>
      <w:r w:rsidRPr="001E2104">
        <w:rPr>
          <w:rFonts w:ascii="Times New Roman" w:hAnsi="Times New Roman" w:cs="Times New Roman"/>
          <w:i/>
          <w:sz w:val="20"/>
          <w:szCs w:val="24"/>
        </w:rPr>
        <w:t>Candida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1E2104">
        <w:rPr>
          <w:rFonts w:ascii="Times New Roman" w:hAnsi="Times New Roman" w:cs="Times New Roman"/>
          <w:i/>
          <w:sz w:val="20"/>
          <w:szCs w:val="24"/>
        </w:rPr>
        <w:t>albicans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(8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muestras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). La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susceptibilidad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antimicrobiana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reveló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que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los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="001E2104" w:rsidRPr="001E2104">
        <w:rPr>
          <w:rFonts w:ascii="Times New Roman" w:hAnsi="Times New Roman" w:cs="Times New Roman"/>
          <w:sz w:val="20"/>
          <w:szCs w:val="24"/>
        </w:rPr>
        <w:t xml:space="preserve">Estafilococos </w:t>
      </w:r>
      <w:proofErr w:type="spellStart"/>
      <w:r w:rsidR="001E2104" w:rsidRPr="001E2104">
        <w:rPr>
          <w:rFonts w:ascii="Times New Roman" w:hAnsi="Times New Roman" w:cs="Times New Roman"/>
          <w:sz w:val="20"/>
          <w:szCs w:val="24"/>
        </w:rPr>
        <w:t>coagulase</w:t>
      </w:r>
      <w:proofErr w:type="spellEnd"/>
      <w:r w:rsidR="001E2104" w:rsidRPr="001E2104">
        <w:rPr>
          <w:rFonts w:ascii="Times New Roman" w:hAnsi="Times New Roman" w:cs="Times New Roman"/>
          <w:sz w:val="20"/>
          <w:szCs w:val="24"/>
        </w:rPr>
        <w:t xml:space="preserve"> negativa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eran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resistentes a </w:t>
      </w:r>
      <w:proofErr w:type="spellStart"/>
      <w:proofErr w:type="gram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tenían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una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tasa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resistencia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del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57,69%. </w:t>
      </w:r>
      <w:proofErr w:type="spellStart"/>
      <w:r w:rsidRPr="00B33275">
        <w:rPr>
          <w:rFonts w:ascii="Times New Roman" w:hAnsi="Times New Roman" w:cs="Times New Roman"/>
          <w:i/>
          <w:sz w:val="20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Pr="00B33275">
        <w:rPr>
          <w:rFonts w:ascii="Times New Roman" w:hAnsi="Times New Roman" w:cs="Times New Roman"/>
          <w:i/>
          <w:sz w:val="20"/>
          <w:szCs w:val="24"/>
        </w:rPr>
        <w:t>aureus</w:t>
      </w:r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fue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más resistente 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amoxilina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/ácido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clavulánico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(50,00%). </w:t>
      </w:r>
      <w:proofErr w:type="spellStart"/>
      <w:r w:rsidRPr="00B33275">
        <w:rPr>
          <w:rFonts w:ascii="Times New Roman" w:hAnsi="Times New Roman" w:cs="Times New Roman"/>
          <w:i/>
          <w:sz w:val="20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0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proofErr w:type="gramStart"/>
      <w:r w:rsidR="00B33275">
        <w:rPr>
          <w:rFonts w:ascii="Times New Roman" w:hAnsi="Times New Roman" w:cs="Times New Roman"/>
          <w:sz w:val="20"/>
          <w:szCs w:val="24"/>
        </w:rPr>
        <w:t>mostró</w:t>
      </w:r>
      <w:proofErr w:type="spellEnd"/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resistencia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amikacina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(50,00%), seguida por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ceftriaxona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ciprofloxacina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levofloxacina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(37,50%). Este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estudio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reafirma </w:t>
      </w:r>
      <w:proofErr w:type="spellStart"/>
      <w:proofErr w:type="gram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proofErr w:type="gram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necesidad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uso racional de agentes antimicrobianos y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la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implementación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estrategias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vigilancia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epidemiológica para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el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tratamiento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de infecciones de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heridas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quirúrgicas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.</w:t>
      </w: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A3C2A" w:rsidRPr="00D52972" w:rsidRDefault="005A3C2A" w:rsidP="00134A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F00F24">
        <w:rPr>
          <w:rFonts w:ascii="Times New Roman" w:hAnsi="Times New Roman" w:cs="Times New Roman"/>
          <w:b/>
          <w:sz w:val="20"/>
          <w:szCs w:val="24"/>
        </w:rPr>
        <w:t>Palabras</w:t>
      </w:r>
      <w:proofErr w:type="spellEnd"/>
      <w:r w:rsidRPr="00F00F24">
        <w:rPr>
          <w:rFonts w:ascii="Times New Roman" w:hAnsi="Times New Roman" w:cs="Times New Roman"/>
          <w:b/>
          <w:sz w:val="20"/>
          <w:szCs w:val="24"/>
        </w:rPr>
        <w:t xml:space="preserve"> clave</w:t>
      </w:r>
      <w:r w:rsidRPr="00D52972">
        <w:rPr>
          <w:rFonts w:ascii="Times New Roman" w:hAnsi="Times New Roman" w:cs="Times New Roman"/>
          <w:sz w:val="20"/>
          <w:szCs w:val="24"/>
        </w:rPr>
        <w:t xml:space="preserve">: </w:t>
      </w:r>
      <w:proofErr w:type="spellStart"/>
      <w:r w:rsidR="00F00F24">
        <w:rPr>
          <w:rFonts w:ascii="Times New Roman" w:hAnsi="Times New Roman" w:cs="Times New Roman"/>
          <w:sz w:val="20"/>
          <w:szCs w:val="24"/>
        </w:rPr>
        <w:t>Infección</w:t>
      </w:r>
      <w:proofErr w:type="spellEnd"/>
      <w:r w:rsidR="00F00F24">
        <w:rPr>
          <w:rFonts w:ascii="Times New Roman" w:hAnsi="Times New Roman" w:cs="Times New Roman"/>
          <w:sz w:val="20"/>
          <w:szCs w:val="24"/>
        </w:rPr>
        <w:t xml:space="preserve"> de </w:t>
      </w:r>
      <w:proofErr w:type="spellStart"/>
      <w:r w:rsidR="00F00F24">
        <w:rPr>
          <w:rFonts w:ascii="Times New Roman" w:hAnsi="Times New Roman" w:cs="Times New Roman"/>
          <w:sz w:val="20"/>
          <w:szCs w:val="24"/>
        </w:rPr>
        <w:t>Herida</w:t>
      </w:r>
      <w:proofErr w:type="spellEnd"/>
      <w:r w:rsidR="00F00F2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F00F24">
        <w:rPr>
          <w:rFonts w:ascii="Times New Roman" w:hAnsi="Times New Roman" w:cs="Times New Roman"/>
          <w:sz w:val="20"/>
          <w:szCs w:val="24"/>
        </w:rPr>
        <w:t>Operatoria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r w:rsidR="00F00F24" w:rsidRPr="00F00F24">
        <w:rPr>
          <w:rFonts w:ascii="Times New Roman" w:hAnsi="Times New Roman" w:cs="Times New Roman"/>
          <w:sz w:val="20"/>
          <w:szCs w:val="24"/>
        </w:rPr>
        <w:t xml:space="preserve">Resistencia a </w:t>
      </w:r>
      <w:r w:rsidR="00F00F24">
        <w:rPr>
          <w:rFonts w:ascii="Times New Roman" w:hAnsi="Times New Roman" w:cs="Times New Roman"/>
          <w:sz w:val="20"/>
          <w:szCs w:val="24"/>
        </w:rPr>
        <w:t>M</w:t>
      </w:r>
      <w:r w:rsidR="00F00F24" w:rsidRPr="00F00F24">
        <w:rPr>
          <w:rFonts w:ascii="Times New Roman" w:hAnsi="Times New Roman" w:cs="Times New Roman"/>
          <w:sz w:val="20"/>
          <w:szCs w:val="24"/>
        </w:rPr>
        <w:t>edicamentos</w:t>
      </w:r>
      <w:r w:rsidRPr="00D52972">
        <w:rPr>
          <w:rFonts w:ascii="Times New Roman" w:hAnsi="Times New Roman" w:cs="Times New Roman"/>
          <w:sz w:val="20"/>
          <w:szCs w:val="24"/>
        </w:rPr>
        <w:t xml:space="preserve">. Infecciones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Estafilocócicas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Vigilancia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 xml:space="preserve"> </w:t>
      </w:r>
      <w:r w:rsidR="00F00F24">
        <w:rPr>
          <w:rFonts w:ascii="Times New Roman" w:hAnsi="Times New Roman" w:cs="Times New Roman"/>
          <w:sz w:val="20"/>
          <w:szCs w:val="24"/>
        </w:rPr>
        <w:t>E</w:t>
      </w:r>
      <w:r w:rsidRPr="00D52972">
        <w:rPr>
          <w:rFonts w:ascii="Times New Roman" w:hAnsi="Times New Roman" w:cs="Times New Roman"/>
          <w:sz w:val="20"/>
          <w:szCs w:val="24"/>
        </w:rPr>
        <w:t xml:space="preserve">pidemiológica. </w:t>
      </w:r>
      <w:proofErr w:type="spellStart"/>
      <w:r w:rsidRPr="00D52972">
        <w:rPr>
          <w:rFonts w:ascii="Times New Roman" w:hAnsi="Times New Roman" w:cs="Times New Roman"/>
          <w:sz w:val="20"/>
          <w:szCs w:val="24"/>
        </w:rPr>
        <w:t>Microbiología</w:t>
      </w:r>
      <w:proofErr w:type="spellEnd"/>
      <w:r w:rsidRPr="00D52972">
        <w:rPr>
          <w:rFonts w:ascii="Times New Roman" w:hAnsi="Times New Roman" w:cs="Times New Roman"/>
          <w:sz w:val="20"/>
          <w:szCs w:val="24"/>
        </w:rPr>
        <w:t>.</w:t>
      </w: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br w:type="page"/>
      </w: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As infecções relacionadas à assistência à saúde (IRAS) são definidas como infecções adquiridas durante a prestação dos cuidados de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saúde.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52972">
        <w:rPr>
          <w:rFonts w:ascii="Times New Roman" w:hAnsi="Times New Roman" w:cs="Times New Roman"/>
          <w:sz w:val="24"/>
          <w:szCs w:val="24"/>
        </w:rPr>
        <w:t xml:space="preserve"> As IRAS correspondem a um prevalente evento adverso, que acomete pacientes durante o cuidado assistencial, e tornaram-se um grave problema de saúde pública mundial.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Pr="00D52972">
        <w:rPr>
          <w:rFonts w:ascii="Times New Roman" w:hAnsi="Times New Roman" w:cs="Times New Roman"/>
          <w:sz w:val="24"/>
          <w:szCs w:val="24"/>
        </w:rPr>
        <w:t xml:space="preserve"> Nos Estados Unidos, aproximadamente 02 milhões de indivíduos são acometidos por IRAS anualmente. Deste total, entre 60 e 90 mil pacientes não resistem, e 17 a 29 bilhões de dólares são gastos em despesas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hospitalares.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No Brasil, a Infecção do Sítio Cirúrgico (ISC) é uma das principais infecções relacionadas à assistência à saúde. Conceitualmente, a ISC pode ser definida como aquela que ocorre na incisão cirúrgica, e acomete tecidos, órgãos e cavidades manipulados durante a operação em até 30 dias após o procedimento operatório, ou em até um ano após esse procedimento em casos de implante de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prótese.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r w:rsidRPr="00D52972">
        <w:rPr>
          <w:rFonts w:ascii="Times New Roman" w:hAnsi="Times New Roman" w:cs="Times New Roman"/>
          <w:sz w:val="24"/>
          <w:szCs w:val="24"/>
        </w:rPr>
        <w:t xml:space="preserve"> Este tipo de infecção ocupa a terceira posição, dentre todas as infecções em serviços de saúde. Além disso, é responsável por 14% a 16% das infecções que acometem indivíduos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hospitalizados.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6,7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A ISC é a mais importante causa de complicação pós-operatória no paciente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cirúrgico.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D52972">
        <w:rPr>
          <w:rFonts w:ascii="Times New Roman" w:hAnsi="Times New Roman" w:cs="Times New Roman"/>
          <w:sz w:val="24"/>
          <w:szCs w:val="24"/>
        </w:rPr>
        <w:t xml:space="preserve"> Diversos fatores podem contribuir para a patogênese da ISC. O ambiente hospitalar é um local favorável à propagação de microrganismos, pois reúne indivíduos com diferentes vulnerabilidades à infecção, e a realização de procedimentos invasivos é intensa. O preparo pré-operatório ineficiente, o tipo de procedimento cirúrgico realizado, a duração da operação, habilidade técnica da equipe cirúrgica, o ambiente do centro cirúrgico e o período </w:t>
      </w:r>
      <w:proofErr w:type="spellStart"/>
      <w:proofErr w:type="gramStart"/>
      <w:r w:rsidRPr="00D52972">
        <w:rPr>
          <w:rFonts w:ascii="Times New Roman" w:hAnsi="Times New Roman" w:cs="Times New Roman"/>
          <w:sz w:val="24"/>
          <w:szCs w:val="24"/>
        </w:rPr>
        <w:t>intra-operatório</w:t>
      </w:r>
      <w:proofErr w:type="spellEnd"/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são fatores que estão relacionados à etiologia da ISC. Por fim, fatores relacionados ao microrganismo, tais como: a carga microbiana e a virulência, e os relacionados aos pacientes, entre os quais se destacam as doenças de base, imunossupressão e idade também são fatores de risco para a aquisição de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ISC.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6,9-12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Clinicamente, a ferida cirúrgica é considerada infectada quando existe a presença de drenagem purulenta pela cicatriz, na qual o edema, calor, rubor, deiscência e abscesso podem estar associados. Para o reconhecimento fidedigno da ISC é necessário que o acompanhamento pós-alta de ISC seja adotado como atividade de rotina, uma vez que 12,0 a 84,0% das ISC são diagnosticadas após a alta hospitalar. O acompanhamento direto do paciente no retorno ambulatorial, na retirada de pontos, e na vigilância dos casos de internação reincidente, é imprescindível para a obtenção de indicadores acurados, redução da </w:t>
      </w:r>
      <w:r w:rsidRPr="00D52972">
        <w:rPr>
          <w:rFonts w:ascii="Times New Roman" w:hAnsi="Times New Roman" w:cs="Times New Roman"/>
          <w:sz w:val="24"/>
          <w:szCs w:val="24"/>
        </w:rPr>
        <w:lastRenderedPageBreak/>
        <w:t xml:space="preserve">subnotificação destas infecções e implementação de medidas direcionadas à sua prevenção 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controle.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6,13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Nesta perspectiva, o presente trabalho teve como objetivo investigar a prevalência, e susceptibilidade aos agentes antimicrobianos, apresentada por bactérias associadas à ISC, em um hospital em Nova Friburgo, Rio de Janeiro, Brasil.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Trata-se de um estudo epidemiológico, transversal e retrospectivo. O estudo foi realizado a partir da análise dos registros de culturas de secreções de feridas cirúrgicas, e testes de sensibilidade, provenientes do banco de dados do laboratório de análises clínicas da Casa de Saúde São Lucas, hospital localizado no município de Nova Friburgo, Rio de Janeiro, Brasil. A análise compreendeu dois períodos distintos: junho de 2012 a junho de 2014, e setembro de 2015 a agosto de 2016.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Neste estudo não foram utilizados dados ou informações que poderiam expor ou identificar indivíduos. Trata-se de uma pesquisa com banco de dados, no qual as informações encontravam-se agregadas, sendo disponibilizado o número total de microrganismos isolados em ISC no período estudado (de acordo com o gênero do microrganismo e, quando possível, sua espécie), e os perfis de sensibilidade antimicrobiana apresentados por estes microrganismos, sem que houvesse a possibilidade de identificação de indivíduos. Segundo os princípios éticos contidos na Resolução nº 510/16 do Conselho Nacional de Saúde/Ministério da Saúde, pesquisa com bancos de dados, cujas informações são agregadas, sem possibilidade de identificação individual não serão registradas nem avaliadas pelo sistema CEP/CONEP. O estudo e o acesso aos dados anteriormente especificados foram previamente autorizados, pelo responsável técnico do laboratório de análises clínicas da instituição referida.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A instituição adota a metodologia convencional, descrita por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Koneman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Pr="00D52972">
        <w:rPr>
          <w:rFonts w:ascii="Times New Roman" w:hAnsi="Times New Roman" w:cs="Times New Roman"/>
          <w:sz w:val="24"/>
          <w:szCs w:val="24"/>
        </w:rPr>
        <w:t xml:space="preserve"> (2008)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D52972">
        <w:rPr>
          <w:rFonts w:ascii="Times New Roman" w:hAnsi="Times New Roman" w:cs="Times New Roman"/>
          <w:sz w:val="24"/>
          <w:szCs w:val="24"/>
        </w:rPr>
        <w:t>, na identificação prévia dos microrganismos. O teste de sensibilidade aos agentes antimicrobianos é realizado pelo método de disco-difusão em ágar, conforme os critérios recomendado pelo CLSI (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Standards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>, 2010)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52972">
        <w:rPr>
          <w:rFonts w:ascii="Times New Roman" w:hAnsi="Times New Roman" w:cs="Times New Roman"/>
          <w:sz w:val="24"/>
          <w:szCs w:val="24"/>
        </w:rPr>
        <w:t>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lastRenderedPageBreak/>
        <w:t>Os resultados deste estudo foram expressos em percentagem simples, e discutidos à luz da literatura vigente.</w:t>
      </w: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Durante o período estudado, 83 microrganismos foram isolados, sendo 51 cocos Gram-positivos, 24 bacilos Gram-negativos 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leveduras.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Os microrganismos isolados com maior frequência foram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 (26 amostras),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(20 amostras),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. (08 amostras) 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Candida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albicans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(08 amostras) (Tabela 1).</w:t>
      </w: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tabs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B5">
        <w:rPr>
          <w:rFonts w:ascii="Times New Roman" w:hAnsi="Times New Roman" w:cs="Times New Roman"/>
          <w:b/>
          <w:sz w:val="24"/>
          <w:szCs w:val="24"/>
        </w:rPr>
        <w:t>Tabela 1</w:t>
      </w:r>
      <w:r w:rsidRPr="00D52972">
        <w:rPr>
          <w:rFonts w:ascii="Times New Roman" w:hAnsi="Times New Roman" w:cs="Times New Roman"/>
          <w:sz w:val="24"/>
          <w:szCs w:val="24"/>
        </w:rPr>
        <w:t xml:space="preserve"> – Prevalência de microrganismos isolados em secreções de feridas cirúrgicas em Nova Friburgo, RJ, Brasil.</w:t>
      </w:r>
    </w:p>
    <w:tbl>
      <w:tblPr>
        <w:tblStyle w:val="Tabelacomgrade"/>
        <w:tblpPr w:leftFromText="141" w:rightFromText="141" w:vertAnchor="text" w:horzAnchor="margin" w:tblpXSpec="center" w:tblpY="113"/>
        <w:tblW w:w="9031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670"/>
      </w:tblGrid>
      <w:tr w:rsidR="005A3C2A" w:rsidRPr="00D52972" w:rsidTr="00E017B5">
        <w:tc>
          <w:tcPr>
            <w:tcW w:w="4361" w:type="dxa"/>
            <w:tcBorders>
              <w:bottom w:val="single" w:sz="4" w:space="0" w:color="auto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Microrganismos</w:t>
            </w:r>
          </w:p>
        </w:tc>
        <w:tc>
          <w:tcPr>
            <w:tcW w:w="4670" w:type="dxa"/>
            <w:tcBorders>
              <w:left w:val="nil"/>
              <w:bottom w:val="single" w:sz="4" w:space="0" w:color="auto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5A3C2A" w:rsidRPr="00D52972" w:rsidTr="00E017B5">
        <w:tc>
          <w:tcPr>
            <w:tcW w:w="4361" w:type="dxa"/>
            <w:tcBorders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  <w:proofErr w:type="spellEnd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coagulase</w:t>
            </w:r>
            <w:proofErr w:type="spellEnd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 xml:space="preserve"> negativa</w:t>
            </w:r>
          </w:p>
        </w:tc>
        <w:tc>
          <w:tcPr>
            <w:tcW w:w="4670" w:type="dxa"/>
            <w:tcBorders>
              <w:left w:val="nil"/>
              <w:bottom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26 (31,33)</w:t>
            </w: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Staphylococcus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aureus</w:t>
            </w:r>
          </w:p>
        </w:tc>
        <w:tc>
          <w:tcPr>
            <w:tcW w:w="4670" w:type="dxa"/>
            <w:vMerge w:val="restart"/>
            <w:tcBorders>
              <w:top w:val="nil"/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20 (24,10)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08 (9,64)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08 (9,64)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06 (7,23)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04 (4,82)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04 (4,82)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03 (3,62)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01 (1,20)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01 (1,20)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01 (1,20)</w:t>
            </w:r>
          </w:p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01 (1,20)</w:t>
            </w: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Enterobacter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gram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Candida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albicans</w:t>
            </w:r>
            <w:proofErr w:type="spellEnd"/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Pseudomonas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Streptococcus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spellEnd"/>
            <w:proofErr w:type="gramEnd"/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Proteus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gram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Enterococcus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gram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Serratia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marcescens</w:t>
            </w:r>
            <w:proofErr w:type="spellEnd"/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Citrobacter</w:t>
            </w:r>
            <w:proofErr w:type="spell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proofErr w:type="gramEnd"/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70" w:type="dxa"/>
            <w:vMerge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  <w:tc>
          <w:tcPr>
            <w:tcW w:w="4670" w:type="dxa"/>
            <w:vMerge/>
            <w:tcBorders>
              <w:left w:val="nil"/>
              <w:bottom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C2A" w:rsidRPr="00D52972" w:rsidTr="00E017B5">
        <w:tc>
          <w:tcPr>
            <w:tcW w:w="4361" w:type="dxa"/>
            <w:tcBorders>
              <w:righ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670" w:type="dxa"/>
            <w:tcBorders>
              <w:left w:val="nil"/>
            </w:tcBorders>
            <w:vAlign w:val="center"/>
          </w:tcPr>
          <w:p w:rsidR="005A3C2A" w:rsidRPr="00D52972" w:rsidRDefault="005A3C2A" w:rsidP="00E01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83 (100)</w:t>
            </w:r>
          </w:p>
        </w:tc>
      </w:tr>
    </w:tbl>
    <w:p w:rsidR="005A3C2A" w:rsidRPr="00D52972" w:rsidRDefault="00E017B5" w:rsidP="00E017B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Autoria própria.</w:t>
      </w:r>
    </w:p>
    <w:p w:rsidR="00E017B5" w:rsidRDefault="00E017B5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Os resultados, do teste de susceptibilidade aos agentes antimicrobianos das 03 bactérias isoladas em maior proporção, encontram-se na Tabela 2. </w:t>
      </w:r>
    </w:p>
    <w:p w:rsidR="00E017B5" w:rsidRDefault="00E017B5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7B5" w:rsidRDefault="00E017B5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B5">
        <w:rPr>
          <w:rFonts w:ascii="Times New Roman" w:hAnsi="Times New Roman" w:cs="Times New Roman"/>
          <w:b/>
          <w:sz w:val="24"/>
          <w:szCs w:val="24"/>
        </w:rPr>
        <w:lastRenderedPageBreak/>
        <w:t>Tabela 2</w:t>
      </w:r>
      <w:r w:rsidRPr="00D5297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52972">
        <w:rPr>
          <w:rFonts w:ascii="Times New Roman" w:hAnsi="Times New Roman" w:cs="Times New Roman"/>
          <w:sz w:val="24"/>
          <w:szCs w:val="24"/>
        </w:rPr>
        <w:t xml:space="preserve"> Perfil de resistência antimicrobiana dos microrganismos isolados em secreções de feridas cirúrgicas em Nova Friburgo, RJ, Brasil.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990"/>
        <w:gridCol w:w="2126"/>
        <w:gridCol w:w="2375"/>
      </w:tblGrid>
      <w:tr w:rsidR="005A3C2A" w:rsidRPr="00D52972" w:rsidTr="00E017B5">
        <w:trPr>
          <w:jc w:val="center"/>
        </w:trPr>
        <w:tc>
          <w:tcPr>
            <w:tcW w:w="2229" w:type="dxa"/>
            <w:tcBorders>
              <w:bottom w:val="single" w:sz="4" w:space="0" w:color="auto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Antibióticos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Enterobacter</w:t>
            </w:r>
            <w:proofErr w:type="spellEnd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  <w:proofErr w:type="gramEnd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. (%)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Staphylococcus</w:t>
            </w:r>
            <w:proofErr w:type="spellEnd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29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aureus</w:t>
            </w:r>
          </w:p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375" w:type="dxa"/>
            <w:tcBorders>
              <w:left w:val="nil"/>
              <w:bottom w:val="single" w:sz="4" w:space="0" w:color="auto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Staphylococcus</w:t>
            </w:r>
            <w:proofErr w:type="spellEnd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coagulase</w:t>
            </w:r>
            <w:proofErr w:type="spellEnd"/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negativa</w:t>
            </w:r>
          </w:p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Amicacina</w:t>
            </w:r>
            <w:proofErr w:type="spellEnd"/>
          </w:p>
        </w:tc>
        <w:tc>
          <w:tcPr>
            <w:tcW w:w="1990" w:type="dxa"/>
            <w:tcBorders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375" w:type="dxa"/>
            <w:tcBorders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11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,53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Amoxilina</w:t>
            </w:r>
            <w:proofErr w:type="spellEnd"/>
            <w:r w:rsidR="00E017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Ácido Clavulânico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53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,84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Cefalotina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23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,07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Cefepima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57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,69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Ceftriaxona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NT</w:t>
            </w:r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Ceftazidima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NT</w:t>
            </w:r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Clindamicina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42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,30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Ciprofloxacino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57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,69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Gentamicina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38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,46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Imipenem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NT</w:t>
            </w:r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Linezolida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0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,00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Levofloxacino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57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,69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Meropenem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NT</w:t>
            </w:r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Oxacilina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53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,84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Rifampicina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7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,69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Teicoplanina</w:t>
            </w:r>
            <w:proofErr w:type="spellEnd"/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3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,84</w:t>
            </w:r>
            <w:proofErr w:type="gramEnd"/>
          </w:p>
        </w:tc>
      </w:tr>
      <w:tr w:rsidR="005A3C2A" w:rsidRPr="00D52972" w:rsidTr="00E017B5">
        <w:trPr>
          <w:jc w:val="center"/>
        </w:trPr>
        <w:tc>
          <w:tcPr>
            <w:tcW w:w="2229" w:type="dxa"/>
            <w:tcBorders>
              <w:top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Vancomicina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5A3C2A" w:rsidRPr="00D52972" w:rsidRDefault="005A3C2A" w:rsidP="00CA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7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375" w:type="dxa"/>
            <w:tcBorders>
              <w:top w:val="nil"/>
              <w:left w:val="nil"/>
            </w:tcBorders>
            <w:vAlign w:val="center"/>
          </w:tcPr>
          <w:p w:rsidR="005A3C2A" w:rsidRPr="00D52972" w:rsidRDefault="005A3C2A" w:rsidP="00CA449A">
            <w:pPr>
              <w:pStyle w:val="Ttulo2"/>
              <w:tabs>
                <w:tab w:val="left" w:pos="4170"/>
              </w:tabs>
              <w:jc w:val="center"/>
              <w:outlineLvl w:val="1"/>
              <w:rPr>
                <w:rFonts w:cs="Times New Roman"/>
                <w:i w:val="0"/>
                <w:color w:val="auto"/>
                <w:sz w:val="24"/>
                <w:szCs w:val="24"/>
              </w:rPr>
            </w:pPr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0</w:t>
            </w:r>
            <w:proofErr w:type="gramStart"/>
            <w:r w:rsidRPr="00D52972">
              <w:rPr>
                <w:rFonts w:cs="Times New Roman"/>
                <w:i w:val="0"/>
                <w:color w:val="auto"/>
                <w:sz w:val="24"/>
                <w:szCs w:val="24"/>
              </w:rPr>
              <w:t>,00</w:t>
            </w:r>
            <w:proofErr w:type="gramEnd"/>
          </w:p>
        </w:tc>
      </w:tr>
    </w:tbl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* Legenda: NT – não testado</w:t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>
        <w:rPr>
          <w:rFonts w:ascii="Times New Roman" w:hAnsi="Times New Roman" w:cs="Times New Roman"/>
          <w:sz w:val="24"/>
          <w:szCs w:val="24"/>
        </w:rPr>
        <w:tab/>
      </w:r>
      <w:r w:rsidR="00E017B5" w:rsidRPr="00E017B5">
        <w:rPr>
          <w:rFonts w:ascii="Times New Roman" w:hAnsi="Times New Roman" w:cs="Times New Roman"/>
          <w:sz w:val="24"/>
          <w:szCs w:val="24"/>
        </w:rPr>
        <w:t>Fonte: Autoria própria.</w:t>
      </w:r>
    </w:p>
    <w:p w:rsidR="005A3C2A" w:rsidRPr="00D52972" w:rsidRDefault="005A3C2A" w:rsidP="00CA4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 apresentou resistência à grande maioria das drogas testadas, inclusive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fluoroquinolonas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cefalosporina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de quarta geração, tais como: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e cada uma apresentou taxa de resistência de 57,69%.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4"/>
          <w:szCs w:val="24"/>
        </w:rPr>
        <w:t>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, também apresentou taxa significativa de resistência frente aos agentes antimicrobianos testados, incluindo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amoxilina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/ácido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clavulânico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(50,00%)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(50,00%).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apresentou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resistência à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amicacina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(50,00%), seguida por uma taxa de resistência de 37,50% frente aos seguintes antimicrobianos: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ceftriaxona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(Tabela2).</w:t>
      </w:r>
    </w:p>
    <w:p w:rsidR="005A3C2A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De acordo com os dados analisados,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 (SCN) foi o microrganismo isolado com maior frequência (31,33%). SCN constituem a microbiota da pele e superfícies mucosas de seres humanos. O papel destes microrganismos, como agentes </w:t>
      </w:r>
      <w:r w:rsidRPr="00D52972">
        <w:rPr>
          <w:rFonts w:ascii="Times New Roman" w:hAnsi="Times New Roman" w:cs="Times New Roman"/>
          <w:sz w:val="24"/>
          <w:szCs w:val="24"/>
        </w:rPr>
        <w:lastRenderedPageBreak/>
        <w:t xml:space="preserve">etiológicos de infecções oportunistas é reconhecido no ambiente hospitalar e comunitário. As infecções de ferida por estafilococos podem ocorrer em pacientes após um procedimento cirúrgico, no qual microrganismos que colonizam a pele são introduzidos na ferida. A infecção é caracterizada por edema, eritema, dor e acúmulo de material purulento no sítio da ferida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cirúrgica.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10, 16-18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4"/>
          <w:szCs w:val="24"/>
        </w:rPr>
        <w:t>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ocupou a segunda posição (24,10%), dentre os microrganismos mais prevalentes em casos de ISC. </w:t>
      </w:r>
      <w:r w:rsidRPr="00D52972">
        <w:rPr>
          <w:rFonts w:ascii="Times New Roman" w:hAnsi="Times New Roman" w:cs="Times New Roman"/>
          <w:i/>
          <w:sz w:val="24"/>
          <w:szCs w:val="24"/>
        </w:rPr>
        <w:t>S.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é um microrganismo ubíquo, e o ser humano é seu principal reservatório. O microrganismo coloniza principalmente as narinas superiores, com prevalência ao redor de 40% na população adulta. Este fato é de grande importância clínica, pois uma vez com as narinas colonizadas, o indivíduo contamina as próprias mãos e torna-se veículo de transferência bacteriana, no mecanismo de infecção por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contato.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 xml:space="preserve">19 </w:t>
      </w:r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4"/>
          <w:szCs w:val="24"/>
        </w:rPr>
        <w:t>S.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tem sido isolado com elevada frequência no ambiente hospitalar e nos profissionais de saúde. Dessa forma, a transmissão para os pacientes pode ocorrer através do contato direto ou indireto, tornando-se um fator de risco para o desenvolvimento de infecções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oportunistas.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isolado em 9,64% das ISC. Espécies de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são encontradas no meio ambiente, e podem colonizar superfícies de mucosas de mamíferos.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aerogenes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cloacae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são as espécies comumente isoladas em materiais biológicos. As infecções primárias causadas por espécies do gênero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são mais comuns em infecções adquiridas no hospital, sobretudo em pacientes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imunocomprometidos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Ocasionalmente, o microrganismo pode ser isolado, como agente oportunista, na urina, secreções, feridas cutâneas 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sepses.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18,21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No contexto das IRAS, as ISC têm sido apontadas como um importante sítio de infecção. A cirurgia constitui um procedimento de risco por si só, devido ao rompimento da pele, principal barreira de defesa do organismo. Tanto microrganismos Gram-positivos, quanto microrganismos Gram-negativos podem estar presentes em ISC. A maioria das ISC é causada por microrganismos que constituem a microbiota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anfibiôntica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do paciente, sobretudo da pele e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mucosas.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22,23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Os principais agentes etiológicos isolados em ISC são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</w:t>
      </w:r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sz w:val="24"/>
          <w:szCs w:val="24"/>
        </w:rPr>
        <w:t xml:space="preserve">e bacilos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Gram-negativos.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 xml:space="preserve">5,12,16,24 </w:t>
      </w:r>
      <w:r w:rsidRPr="00D52972">
        <w:rPr>
          <w:rFonts w:ascii="Times New Roman" w:hAnsi="Times New Roman" w:cs="Times New Roman"/>
          <w:sz w:val="24"/>
          <w:szCs w:val="24"/>
        </w:rPr>
        <w:t>A prevalência de microrganismos isolados, em casos de infecções do sítio cirúrgico, deste trabalho corrobora com o perfil descrito na literatura.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lastRenderedPageBreak/>
        <w:t xml:space="preserve">Quanto ao perfil de susceptibilidade aos agentes antimicrobianos,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 apresentou maior taxa de resistência aos antibióticos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cefepima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numa taxa de 57,69%, quanto comparadas à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(53,84%). O resultado corrobora ao fato de que cada região possui características próprias, que atuam sobre a incidência e o perfil de susceptibilidade antimicrobiana, tornando os microrganismos ali encontrados mais ou menos comuns, e com perfis de resistência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distintos.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25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i/>
          <w:sz w:val="24"/>
          <w:szCs w:val="24"/>
        </w:rPr>
        <w:t>S.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apresentou maior taxa de resistência frente aos antibióticos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amoxilina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/ácido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clavulânico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(50,00%)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(50,00%). Entretanto, o microrganismo apresentou alta sensibilidade aos antimicrobianos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linezolida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vancomicina. </w:t>
      </w:r>
      <w:r w:rsidRPr="00D52972">
        <w:rPr>
          <w:rFonts w:ascii="Times New Roman" w:hAnsi="Times New Roman" w:cs="Times New Roman"/>
          <w:i/>
          <w:sz w:val="24"/>
          <w:szCs w:val="24"/>
        </w:rPr>
        <w:t>S.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tem ocupado lugar de destaque na etiologia das IRAS, sobretudo, em função de sua alta versatilidade em adquirir resistência aos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antimicrobianos.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D52972">
        <w:rPr>
          <w:rFonts w:ascii="Times New Roman" w:hAnsi="Times New Roman" w:cs="Times New Roman"/>
          <w:sz w:val="24"/>
          <w:szCs w:val="24"/>
        </w:rPr>
        <w:t xml:space="preserve"> Cepas de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resistentes à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são também resistentes às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cefalosporinas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da primeira geração, restando, como alternativas terapêuticas para as infecções graves, os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glicopeptídios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oxazolidinonas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as estreptograminas.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27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A resistência é particularmente um problema sério com as espécies de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O microrganismo possui resistência natural aos antibióticos amoxicilina, amoxicilina/ácido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clavulânico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cefalosporinas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de primeira geração. Neste estudo, foi observada uma considerável resistência frente à ampicilina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cefalosporinas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e também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fluoroquinolonas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ciprofloxacino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levofloxacino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). Apesar disso, o microrganismo apresentou excelente atividade frente aos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carbapenêmicos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A resistência destes microrganismos a múltiplos antibióticos explica sua emergência entre as infecções do ambiente hospitalar. Por fim, o gênero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desenvolve facilmente resistência contra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cefalosporinas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de segunda e terceira geração, devido à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betalactamase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induzida por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estes.</w:t>
      </w:r>
      <w:proofErr w:type="gramEnd"/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21</w:t>
      </w:r>
    </w:p>
    <w:p w:rsidR="005A3C2A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Este estudo fornece importantes dados epidemiológicos, referentes à prevalência e susceptibilidade de microrganismos isolados em casos de ISC a nível regional.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coagulase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negativa,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 </w:t>
      </w:r>
      <w:r w:rsidRPr="00D52972">
        <w:rPr>
          <w:rFonts w:ascii="Times New Roman" w:hAnsi="Times New Roman" w:cs="Times New Roman"/>
          <w:sz w:val="24"/>
          <w:szCs w:val="24"/>
        </w:rPr>
        <w:t>e</w:t>
      </w:r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sp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os microrganismos isolados com maior frequência. Estes microrganismos apresentaram perfis de sensibilidade distintos, com resistência significativa a várias classes de antibióticos, inclusive aqueles comumente adotados na prática clínica. Estes resultados contribuem para o </w:t>
      </w:r>
      <w:r w:rsidRPr="00D52972">
        <w:rPr>
          <w:rFonts w:ascii="Times New Roman" w:hAnsi="Times New Roman" w:cs="Times New Roman"/>
          <w:sz w:val="24"/>
          <w:szCs w:val="24"/>
        </w:rPr>
        <w:lastRenderedPageBreak/>
        <w:t>direcionamento da terapia antimicrobiana, são importantes para a vigilância de ISC, e seu tratamento clínico.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Os resultados obtidos contribuem para a valorização das culturas microbiológicas, e do teste de sensibilidade aos agentes antimicrobianos. Além disso, aponta-se a necessidade do uso racional e criterioso destes fármacos, para prevenir a emergência e disseminação de bactérias multirresistentes no ambiente hospitalar e também no meio ambiente. Tais estratégias contribuem para a redução das taxas de morbidade e custos hospitalares no tratamento de infecções de feridas operatórias.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5A3C2A" w:rsidRPr="00D52972" w:rsidRDefault="005A3C2A" w:rsidP="00134A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Ao Dr. Glauber Cunha e equipe, pelo suporte no desenvolvimento deste estudo.</w:t>
      </w: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C2A" w:rsidRPr="00D52972" w:rsidRDefault="005A3C2A" w:rsidP="00134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972">
        <w:rPr>
          <w:rFonts w:ascii="Times New Roman" w:hAnsi="Times New Roman" w:cs="Times New Roman"/>
          <w:b/>
          <w:sz w:val="24"/>
          <w:szCs w:val="24"/>
        </w:rPr>
        <w:t>REFERÊNCIAS</w:t>
      </w:r>
      <w:r w:rsidR="00E01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7B5" w:rsidRPr="00E017B5">
        <w:rPr>
          <w:rFonts w:ascii="Times New Roman" w:hAnsi="Times New Roman" w:cs="Times New Roman"/>
          <w:b/>
          <w:sz w:val="24"/>
          <w:szCs w:val="24"/>
        </w:rPr>
        <w:t>BIBLIOGRÁFICAS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Oliveira AC, Damasceno QS, Ribeiro SM. Infecções relacionadas à assistência em saúde: desafios para a prevenção e controle. Revista Mineira de Enfermagem.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13(3):445-450.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Oliveira AC</w:t>
      </w:r>
      <w:r w:rsidR="00134A34">
        <w:rPr>
          <w:rFonts w:ascii="Times New Roman" w:hAnsi="Times New Roman" w:cs="Times New Roman"/>
          <w:sz w:val="24"/>
          <w:szCs w:val="24"/>
        </w:rPr>
        <w:t>,</w:t>
      </w:r>
      <w:r w:rsidRPr="00D52972">
        <w:rPr>
          <w:rFonts w:ascii="Times New Roman" w:hAnsi="Times New Roman" w:cs="Times New Roman"/>
          <w:sz w:val="24"/>
          <w:szCs w:val="24"/>
        </w:rPr>
        <w:t xml:space="preserve"> Paula AOD. Infecções relacionadas ao cuidar em saúde no contexto da segurança do paciente: passado, presente e futuro. Revista Mineira de Enfermagem.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17(1):217-225.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sz w:val="24"/>
          <w:szCs w:val="24"/>
        </w:rPr>
        <w:t>Tenover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FC.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52972">
        <w:rPr>
          <w:rFonts w:ascii="Times New Roman" w:hAnsi="Times New Roman" w:cs="Times New Roman"/>
          <w:sz w:val="24"/>
          <w:szCs w:val="24"/>
        </w:rPr>
        <w:t>Am</w:t>
      </w:r>
      <w:proofErr w:type="spellEnd"/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2006;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119(1):343-348.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Ferraz EM, Ferraz AA, Bacelar TS, Albuquerque HST, Vasconcelos MDM, Leão CS. Controle de infecção em cirurgia geral - resultado de um estudo prospectivo de 23 anos e 42.274 cirurgias.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Colégio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Cir.</w:t>
      </w:r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2001;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1(28):17-25.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Mangram AJ,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Horan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TC, Pearson ML, Silver LC,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Jarvis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WR.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Guideline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1999.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Hospital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1999;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20(4):240-278.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Batista TF, Rodrigues MCS. Vigilância de infecção de sítio cirúrgico pós-alta hospitalar em hospital de ensino do Distrito Federal, Brasil: estudo descritivo retrospectivo no período 2005-2010. Epidemiologia e Serviços de Saúde.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2012;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21(2):253-264.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lastRenderedPageBreak/>
        <w:t>Agência Nacional de Vigilância Sanitária. Sítio Cirúrgico: critérios nacionais de infecção relacionada à assistência à saúde.</w:t>
      </w:r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sz w:val="24"/>
          <w:szCs w:val="24"/>
        </w:rPr>
        <w:t>Brasília: Ministério da Saúde, 1ª ed., 2013.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Oliveira AC, Carvalho DV. Avaliação da subnotificação da infecção do sítio cirúrgico evidenciada pela vigilância pós-alta. Revista Latino-Americana de Enfermagem.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2007;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15(5):992-997.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Aguiar DF, Lima ABG, Santos RB. Uso das precauções-padrão na assistência de enfermagem: um estudo retrospectivo. Escola Anna Nery. Rev.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2008;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12(3):571-575.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sz w:val="24"/>
          <w:szCs w:val="24"/>
        </w:rPr>
        <w:t>Heggendornn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LH, Gomes SWC, Silva NA, Varges</w:t>
      </w:r>
      <w:r w:rsidR="00975560">
        <w:rPr>
          <w:rFonts w:ascii="Times New Roman" w:hAnsi="Times New Roman" w:cs="Times New Roman"/>
          <w:sz w:val="24"/>
          <w:szCs w:val="24"/>
        </w:rPr>
        <w:t xml:space="preserve"> RG, Póvoa</w:t>
      </w:r>
      <w:r w:rsidRPr="00D52972">
        <w:rPr>
          <w:rFonts w:ascii="Times New Roman" w:hAnsi="Times New Roman" w:cs="Times New Roman"/>
          <w:sz w:val="24"/>
          <w:szCs w:val="24"/>
        </w:rPr>
        <w:t xml:space="preserve"> HCC.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Epidemiological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nosocomial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Revista Saúde e Meio Ambiente.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2016;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2(1):25-48.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Nogueira PSF, Moura ERF, Costa MMF, Monteiro WMS,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Brondi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L. Perfil da infecção hospitalar em um hospital universitário. Revista Enfermagem UERJ.</w:t>
      </w:r>
      <w:r w:rsidRPr="00D52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17(1):96-101.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Ribeiro</w:t>
      </w:r>
      <w:r w:rsidR="00975560">
        <w:rPr>
          <w:rFonts w:ascii="Times New Roman" w:hAnsi="Times New Roman" w:cs="Times New Roman"/>
          <w:sz w:val="24"/>
          <w:szCs w:val="24"/>
        </w:rPr>
        <w:t xml:space="preserve"> MM</w:t>
      </w:r>
      <w:r w:rsidRPr="00D52972">
        <w:rPr>
          <w:rFonts w:ascii="Times New Roman" w:hAnsi="Times New Roman" w:cs="Times New Roman"/>
          <w:sz w:val="24"/>
          <w:szCs w:val="24"/>
        </w:rPr>
        <w:t xml:space="preserve">, de Oliveira AC, de Jesus Braz N. Incidência da infecção do sítio cirúrgico em um hospital universitário. Ciência, Cuidado e Saúde.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2007;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6(4):486-493.</w:t>
      </w:r>
    </w:p>
    <w:p w:rsidR="005A3C2A" w:rsidRPr="00D52972" w:rsidRDefault="00975560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Romanzini</w:t>
      </w:r>
      <w:proofErr w:type="spellEnd"/>
      <w:r w:rsidR="005A3C2A" w:rsidRPr="00D52972">
        <w:rPr>
          <w:rFonts w:ascii="Times New Roman" w:hAnsi="Times New Roman" w:cs="Times New Roman"/>
          <w:sz w:val="24"/>
          <w:szCs w:val="24"/>
        </w:rPr>
        <w:t xml:space="preserve"> AE, Jesus APMD, </w:t>
      </w:r>
      <w:proofErr w:type="spellStart"/>
      <w:r w:rsidR="005A3C2A" w:rsidRPr="00D52972">
        <w:rPr>
          <w:rFonts w:ascii="Times New Roman" w:hAnsi="Times New Roman" w:cs="Times New Roman"/>
          <w:sz w:val="24"/>
          <w:szCs w:val="24"/>
        </w:rPr>
        <w:t>Sasaki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VDM, Damiano</w:t>
      </w:r>
      <w:r w:rsidR="005A3C2A" w:rsidRPr="00D52972">
        <w:rPr>
          <w:rFonts w:ascii="Times New Roman" w:hAnsi="Times New Roman" w:cs="Times New Roman"/>
          <w:sz w:val="24"/>
          <w:szCs w:val="24"/>
        </w:rPr>
        <w:t xml:space="preserve"> VB, Gomes JJ. Orientações de enfermagem aos pacientes sobre o autocuidado e os sinais e sintomas de infecção de sítio cirúrgico para a pós-alta hospitalar de cirurgia cardíaca reconstrutora. Revista Mineira de Enfermagem. </w:t>
      </w:r>
      <w:proofErr w:type="gramStart"/>
      <w:r w:rsidR="005A3C2A" w:rsidRPr="00D52972">
        <w:rPr>
          <w:rFonts w:ascii="Times New Roman" w:hAnsi="Times New Roman" w:cs="Times New Roman"/>
          <w:sz w:val="24"/>
          <w:szCs w:val="24"/>
        </w:rPr>
        <w:t>2010;</w:t>
      </w:r>
      <w:proofErr w:type="gramEnd"/>
      <w:r w:rsidR="005A3C2A" w:rsidRPr="00D52972">
        <w:rPr>
          <w:rFonts w:ascii="Times New Roman" w:hAnsi="Times New Roman" w:cs="Times New Roman"/>
          <w:sz w:val="24"/>
          <w:szCs w:val="24"/>
        </w:rPr>
        <w:t>14(2):239-243.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972">
        <w:rPr>
          <w:rFonts w:ascii="Times New Roman" w:hAnsi="Times New Roman" w:cs="Times New Roman"/>
          <w:sz w:val="24"/>
          <w:szCs w:val="24"/>
        </w:rPr>
        <w:t>Koneman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Winn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JW, Allen S,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al. Diagnóstico microbiológico: texto e atlas colorido, 6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ed., Rio de Janeiro: Guanabara Koogan 2008, 1488 p.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Standards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standards for 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testing.Twentieth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informational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2010, Wayne, PA: CLSI.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Assunção TP, Pontes BCD, Damasceno CAV. Prevalência de infecções em suturas de cirurgias de revascularização do miocárdio. Revista Brasileira de Cirurgia Cardiovascular.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2011;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26(1):20-11.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Barreto MF, Picoli SU.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em um Hospital de Porto Alegre (RS). Revista Brasileira de Análises Clínicas.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2008;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40:285-287.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>Murray, David. Microbiologia médica</w:t>
      </w:r>
      <w:r w:rsidRPr="00D52972">
        <w:rPr>
          <w:rFonts w:ascii="Times New Roman" w:hAnsi="Times New Roman" w:cs="Times New Roman"/>
          <w:i/>
          <w:sz w:val="24"/>
          <w:szCs w:val="24"/>
        </w:rPr>
        <w:t>,</w:t>
      </w:r>
      <w:r w:rsidRPr="00D52972">
        <w:rPr>
          <w:rFonts w:ascii="Times New Roman" w:hAnsi="Times New Roman" w:cs="Times New Roman"/>
          <w:sz w:val="24"/>
          <w:szCs w:val="24"/>
        </w:rPr>
        <w:t xml:space="preserve"> 6</w:t>
      </w:r>
      <w:r w:rsidRPr="00D5297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52972">
        <w:rPr>
          <w:rFonts w:ascii="Times New Roman" w:hAnsi="Times New Roman" w:cs="Times New Roman"/>
          <w:sz w:val="24"/>
          <w:szCs w:val="24"/>
        </w:rPr>
        <w:t xml:space="preserve"> edição.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Brasil, 2010.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Santos AL, Santos DO, Freitas CC, Ferreira BLA, Afonso IF, Rodrigues CR, Castro HC.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4"/>
          <w:szCs w:val="24"/>
        </w:rPr>
        <w:t>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: visitando uma cepa de importância hospitalar. Jornal Brasileiro de Patologia e Medicina Laboratorial.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2007;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43(6):413-423.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lastRenderedPageBreak/>
        <w:t xml:space="preserve"> Dias RS,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Zuccoli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PC. Infecção hospitalar por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r w:rsidRPr="00D52972">
        <w:rPr>
          <w:rFonts w:ascii="Times New Roman" w:hAnsi="Times New Roman" w:cs="Times New Roman"/>
          <w:i/>
          <w:sz w:val="24"/>
          <w:szCs w:val="24"/>
        </w:rPr>
        <w:t>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e fatores de risco para o desenvolvimento da Síndrome do Choque Tóxico (TSST-1). Periódico Científico do Núcleo de Biociências.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2012;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2(3):27-37.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Chaves, LC. Participação dos microrganismos do gênero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nas infecções. Arquivos médicos do ABC.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2002;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27(2):19-21.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Lilani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SP,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Jangale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Chowdhary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Daver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GB.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in clean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clean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contaminated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cases.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2005;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23:249-252.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Suchitra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JB,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Lakshmidevi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site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3:175-179.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Abboud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, CS. Infecção em pós-operatório de cirurgia cardíaca. Rev. Soc.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. Estado de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Säo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Paulo.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2001;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11(5):915-921.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Grillo VTRS,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Gonçalvez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TG, Júnior JC,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Paniágua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NC. Incidência bacteriana e perfil de resistência a antimicrobianos em pacientes pediátricos de um hospital público de Rondônia, Brasil. Revista de Ciências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Farmacêuticas Básica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 xml:space="preserve"> e Aplicada.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44(1):117-123.</w:t>
      </w:r>
    </w:p>
    <w:p w:rsidR="005A3C2A" w:rsidRPr="00D52972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Moreira ACMG, Santos RR,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Benedo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J. Prevalência e perfil de sensibilidade de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isolados em pacientes e equipe de enfermagem. Ciência, Cuidado e Saúde. 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12(3):572-579.</w:t>
      </w:r>
    </w:p>
    <w:p w:rsidR="0036595D" w:rsidRPr="00B33275" w:rsidRDefault="005A3C2A" w:rsidP="00134A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972">
        <w:rPr>
          <w:rFonts w:ascii="Times New Roman" w:hAnsi="Times New Roman" w:cs="Times New Roman"/>
          <w:sz w:val="24"/>
          <w:szCs w:val="24"/>
        </w:rPr>
        <w:t xml:space="preserve"> Moura JSD, Salgado CM, Souza PDS, Simões LLP, Menezes RT, Filho JRC. Fatores de risco associados à infecção e mortalidade por </w:t>
      </w:r>
      <w:proofErr w:type="spellStart"/>
      <w:r w:rsidRPr="00D52972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D52972">
        <w:rPr>
          <w:rFonts w:ascii="Times New Roman" w:hAnsi="Times New Roman" w:cs="Times New Roman"/>
          <w:i/>
          <w:sz w:val="24"/>
          <w:szCs w:val="24"/>
        </w:rPr>
        <w:t xml:space="preserve"> aureus</w:t>
      </w:r>
      <w:r w:rsidRPr="00D52972">
        <w:rPr>
          <w:rFonts w:ascii="Times New Roman" w:hAnsi="Times New Roman" w:cs="Times New Roman"/>
          <w:sz w:val="24"/>
          <w:szCs w:val="24"/>
        </w:rPr>
        <w:t xml:space="preserve"> resistentes a </w:t>
      </w:r>
      <w:proofErr w:type="spellStart"/>
      <w:r w:rsidRPr="00D52972">
        <w:rPr>
          <w:rFonts w:ascii="Times New Roman" w:hAnsi="Times New Roman" w:cs="Times New Roman"/>
          <w:sz w:val="24"/>
          <w:szCs w:val="24"/>
        </w:rPr>
        <w:t>oxacilina</w:t>
      </w:r>
      <w:proofErr w:type="spellEnd"/>
      <w:r w:rsidRPr="00D52972">
        <w:rPr>
          <w:rFonts w:ascii="Times New Roman" w:hAnsi="Times New Roman" w:cs="Times New Roman"/>
          <w:sz w:val="24"/>
          <w:szCs w:val="24"/>
        </w:rPr>
        <w:t xml:space="preserve"> em um hospital de referência para doenças infectocontagiosas de Goiânia-GO, Brasil. O</w:t>
      </w:r>
      <w:bookmarkStart w:id="0" w:name="_GoBack"/>
      <w:bookmarkEnd w:id="0"/>
      <w:r w:rsidRPr="00D52972">
        <w:rPr>
          <w:rFonts w:ascii="Times New Roman" w:hAnsi="Times New Roman" w:cs="Times New Roman"/>
          <w:sz w:val="24"/>
          <w:szCs w:val="24"/>
        </w:rPr>
        <w:t xml:space="preserve"> Mundo da Saúde. 2011:35(1</w:t>
      </w:r>
      <w:proofErr w:type="gramStart"/>
      <w:r w:rsidRPr="00D52972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D52972">
        <w:rPr>
          <w:rFonts w:ascii="Times New Roman" w:hAnsi="Times New Roman" w:cs="Times New Roman"/>
          <w:sz w:val="24"/>
          <w:szCs w:val="24"/>
        </w:rPr>
        <w:t>84-90.</w:t>
      </w:r>
    </w:p>
    <w:sectPr w:rsidR="0036595D" w:rsidRPr="00B33275" w:rsidSect="00D5297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49" w:rsidRDefault="00E36B49" w:rsidP="00CA449A">
      <w:pPr>
        <w:spacing w:after="0" w:line="240" w:lineRule="auto"/>
      </w:pPr>
      <w:r>
        <w:separator/>
      </w:r>
    </w:p>
  </w:endnote>
  <w:endnote w:type="continuationSeparator" w:id="0">
    <w:p w:rsidR="00E36B49" w:rsidRDefault="00E36B49" w:rsidP="00CA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49" w:rsidRDefault="00E36B49" w:rsidP="00CA449A">
      <w:pPr>
        <w:spacing w:after="0" w:line="240" w:lineRule="auto"/>
      </w:pPr>
      <w:r>
        <w:separator/>
      </w:r>
    </w:p>
  </w:footnote>
  <w:footnote w:type="continuationSeparator" w:id="0">
    <w:p w:rsidR="00E36B49" w:rsidRDefault="00E36B49" w:rsidP="00CA4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9B5"/>
    <w:multiLevelType w:val="hybridMultilevel"/>
    <w:tmpl w:val="0E1A3F1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2A"/>
    <w:rsid w:val="000F3E2D"/>
    <w:rsid w:val="00134A34"/>
    <w:rsid w:val="001E2104"/>
    <w:rsid w:val="0036595D"/>
    <w:rsid w:val="004F2763"/>
    <w:rsid w:val="005A3C2A"/>
    <w:rsid w:val="00852184"/>
    <w:rsid w:val="00975560"/>
    <w:rsid w:val="00A06B2A"/>
    <w:rsid w:val="00B33275"/>
    <w:rsid w:val="00CA449A"/>
    <w:rsid w:val="00CF2DCB"/>
    <w:rsid w:val="00D52972"/>
    <w:rsid w:val="00D62266"/>
    <w:rsid w:val="00D6410A"/>
    <w:rsid w:val="00E017B5"/>
    <w:rsid w:val="00E36B49"/>
    <w:rsid w:val="00EA584A"/>
    <w:rsid w:val="00F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2A"/>
  </w:style>
  <w:style w:type="paragraph" w:styleId="Ttulo2">
    <w:name w:val="heading 2"/>
    <w:link w:val="Ttulo2Char"/>
    <w:uiPriority w:val="9"/>
    <w:unhideWhenUsed/>
    <w:qFormat/>
    <w:rsid w:val="005A3C2A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Theme="minorEastAsia" w:hAnsi="Times New Roman"/>
      <w:i/>
      <w:color w:val="231F20"/>
      <w:lang w:val="en-US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3C2A"/>
    <w:rPr>
      <w:rFonts w:ascii="Times New Roman" w:eastAsiaTheme="minorEastAsia" w:hAnsi="Times New Roman"/>
      <w:i/>
      <w:color w:val="231F20"/>
      <w:lang w:val="en-US" w:eastAsia="it-IT"/>
    </w:rPr>
  </w:style>
  <w:style w:type="paragraph" w:styleId="PargrafodaLista">
    <w:name w:val="List Paragraph"/>
    <w:basedOn w:val="Normal"/>
    <w:uiPriority w:val="34"/>
    <w:qFormat/>
    <w:rsid w:val="005A3C2A"/>
    <w:pPr>
      <w:ind w:left="720"/>
      <w:contextualSpacing/>
    </w:pPr>
  </w:style>
  <w:style w:type="table" w:styleId="Tabelacomgrade">
    <w:name w:val="Table Grid"/>
    <w:basedOn w:val="Tabelanormal"/>
    <w:rsid w:val="005A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49A"/>
  </w:style>
  <w:style w:type="paragraph" w:styleId="Rodap">
    <w:name w:val="footer"/>
    <w:basedOn w:val="Normal"/>
    <w:link w:val="RodapChar"/>
    <w:uiPriority w:val="99"/>
    <w:unhideWhenUsed/>
    <w:rsid w:val="00CA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2A"/>
  </w:style>
  <w:style w:type="paragraph" w:styleId="Ttulo2">
    <w:name w:val="heading 2"/>
    <w:link w:val="Ttulo2Char"/>
    <w:uiPriority w:val="9"/>
    <w:unhideWhenUsed/>
    <w:qFormat/>
    <w:rsid w:val="005A3C2A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Theme="minorEastAsia" w:hAnsi="Times New Roman"/>
      <w:i/>
      <w:color w:val="231F20"/>
      <w:lang w:val="en-US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3C2A"/>
    <w:rPr>
      <w:rFonts w:ascii="Times New Roman" w:eastAsiaTheme="minorEastAsia" w:hAnsi="Times New Roman"/>
      <w:i/>
      <w:color w:val="231F20"/>
      <w:lang w:val="en-US" w:eastAsia="it-IT"/>
    </w:rPr>
  </w:style>
  <w:style w:type="paragraph" w:styleId="PargrafodaLista">
    <w:name w:val="List Paragraph"/>
    <w:basedOn w:val="Normal"/>
    <w:uiPriority w:val="34"/>
    <w:qFormat/>
    <w:rsid w:val="005A3C2A"/>
    <w:pPr>
      <w:ind w:left="720"/>
      <w:contextualSpacing/>
    </w:pPr>
  </w:style>
  <w:style w:type="table" w:styleId="Tabelacomgrade">
    <w:name w:val="Table Grid"/>
    <w:basedOn w:val="Tabelanormal"/>
    <w:rsid w:val="005A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49A"/>
  </w:style>
  <w:style w:type="paragraph" w:styleId="Rodap">
    <w:name w:val="footer"/>
    <w:basedOn w:val="Normal"/>
    <w:link w:val="RodapChar"/>
    <w:uiPriority w:val="99"/>
    <w:unhideWhenUsed/>
    <w:rsid w:val="00CA4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3684</Words>
  <Characters>19898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2017-02-24T21:25:00Z</dcterms:created>
  <dcterms:modified xsi:type="dcterms:W3CDTF">2017-02-24T23:11:00Z</dcterms:modified>
</cp:coreProperties>
</file>